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608"/>
        <w:tblGridChange w:id="0">
          <w:tblGrid>
            <w:gridCol w:w="9608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Стандард 6. Квалитет, савременост и међународна усаглашеност студијског програма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Студијски програм је усклађен са савременим светским токовима и стањем струке, науке и уметности у одговарајућем образовно-научном, односно уметничко-образовном пољу и упоредив је са сличним програмима на иностраним високошколским установама, а посебно у оквиру европског образовног простора.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spacing w:after="60" w:lineRule="auto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60" w:lineRule="auto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   Студијски програм Mастер академских студија Француског језика и књижевности на Филозофском факултету у Нишу усаглашен је са савременим научним и стручним програмима истог профила на високошколским установама у европском образовном простору. Овај студијски програм нуди студентима нове, савремене приступе изучавању језика, културе, наставе и књижевности и кроз њихове силабусе даје студентима свеобухватну припрему за писање завршног рада и стицање дипломе као и каснији научноистраживачки и професионални рад. Усаглашеност студијског програма посебно се односи на упис студената, трајање студија, испуњавање услова за упис у наредну годину, начин студирања, као и услова за стицање дипломе. Одређене разлике које постоје могу се сматрати резултатом различитих традиција образовања у европском образовном простору. Студијски програм мастер академских студија Француског језика и књижевности у великој мери је упоредив и усаглашен са студијским програмима следећих универзитета одн. департмана:</w:t>
            </w:r>
          </w:p>
          <w:p w:rsidR="00000000" w:rsidDel="00000000" w:rsidP="00000000" w:rsidRDefault="00000000" w:rsidRPr="00000000" w14:paraId="00000006">
            <w:pPr>
              <w:spacing w:after="60" w:lineRule="auto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60" w:lineRule="auto"/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1)</w:t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Université de Poitiers (Poitiers, France), Faculté de Lettres et Langues: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(</w:t>
            </w:r>
            <w:hyperlink r:id="rId7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https://ll.univ-poitiers.fr/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09">
            <w:pPr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 </w:t>
            </w:r>
            <w:hyperlink r:id="rId8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https://formations.univ-poitiers.fr/fr/index/master-XB/master-XB/master-sciences-du-langage-JB3F3ES0/parcours-didactique-des-langues-et-du-francais-langue-etrangere-et-seconde-JB3F4LIZ.html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0A">
            <w:pPr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 </w:t>
            </w:r>
            <w:hyperlink r:id="rId9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https://formations.univ-poitiers.fr/plugins/odf-web/odf/_content/subprogram-parcours-didactique-des-langues-et-du-francais-langue-etrangere-et-seconde-fr-fr-fr-fr/Parcours%20Didactique%20des%20langues%20et%20du%20fran%C3%A7ais%20langue%20%C3%A9trang%C3%A8re%20et%20seconde.pdf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 )</w:t>
            </w:r>
          </w:p>
          <w:p w:rsidR="00000000" w:rsidDel="00000000" w:rsidP="00000000" w:rsidRDefault="00000000" w:rsidRPr="00000000" w14:paraId="0000000B">
            <w:pPr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60" w:lineRule="auto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2) Université d’Artois (Arras, France), UFR de Lettres &amp; Arts:</w:t>
            </w:r>
          </w:p>
          <w:p w:rsidR="00000000" w:rsidDel="00000000" w:rsidP="00000000" w:rsidRDefault="00000000" w:rsidRPr="00000000" w14:paraId="0000000D">
            <w:pPr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(</w:t>
            </w:r>
            <w:hyperlink r:id="rId10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http://lettres.univ-artois.fr/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0E">
            <w:pPr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hyperlink r:id="rId11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http://lettres.univ-artois.fr/master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0F">
            <w:pPr>
              <w:spacing w:after="60" w:lineRule="auto"/>
              <w:jc w:val="both"/>
              <w:rPr>
                <w:vertAlign w:val="baseline"/>
              </w:rPr>
            </w:pPr>
            <w:hyperlink r:id="rId12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http://lettres.univ-artois.fr/international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0">
            <w:pPr>
              <w:spacing w:after="60" w:lineRule="auto"/>
              <w:jc w:val="both"/>
              <w:rPr>
                <w:vertAlign w:val="baseline"/>
              </w:rPr>
            </w:pPr>
            <w:hyperlink r:id="rId13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http://lettres.univ-artois.fr/master/francais-langue-etrangere-en-presentiel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011">
            <w:pPr>
              <w:spacing w:after="60" w:lineRule="auto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60" w:lineRule="auto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3) Sveučilište u Zagrebu (R. Hrvatska), Filozofski fakultet, Odsjek za romanistiku:</w:t>
            </w:r>
          </w:p>
          <w:p w:rsidR="00000000" w:rsidDel="00000000" w:rsidP="00000000" w:rsidRDefault="00000000" w:rsidRPr="00000000" w14:paraId="00000013">
            <w:pPr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(</w:t>
            </w:r>
            <w:hyperlink r:id="rId14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https://web2020.ffzg.unizg.hr/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4">
            <w:pPr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hyperlink r:id="rId15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https://www.ffzg.unizg.hr/roman/odsjek/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5">
            <w:pPr>
              <w:spacing w:after="60" w:lineRule="auto"/>
              <w:jc w:val="both"/>
              <w:rPr>
                <w:vertAlign w:val="baseline"/>
              </w:rPr>
            </w:pPr>
            <w:hyperlink r:id="rId16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http://www.ffzg.unizg.hr/roman/francuski/programi/izvedbeni-plan-preddiplomskoga-studija-francuskoga-jezika-i-knjizevnosti/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6">
            <w:pPr>
              <w:spacing w:after="60" w:lineRule="auto"/>
              <w:jc w:val="both"/>
              <w:rPr>
                <w:vertAlign w:val="baseline"/>
              </w:rPr>
            </w:pPr>
            <w:hyperlink r:id="rId17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http://www.ffzg.unizg.hr/roman/wp-content/uploads/2012/03/struktura-2010.pdf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7">
            <w:pPr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hyperlink r:id="rId18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http://www.ffzg.unizg.hr/roman/francuski/programi/nastavnicki-smjer/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 )</w:t>
            </w:r>
          </w:p>
          <w:p w:rsidR="00000000" w:rsidDel="00000000" w:rsidP="00000000" w:rsidRDefault="00000000" w:rsidRPr="00000000" w14:paraId="00000018">
            <w:pPr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spacing w:after="60" w:lineRule="auto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Ов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ај студијски програм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 потпуности је усклађен са Основним академским студијама Француског језика и књижевности и Докторским академским студијама страних филологија, као и са другим програмима студија на Филозофском факултету у Нишу у погледу структуре програма, трајању студија, броју ЕСПБ поена и постојању заједничких предмета.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1A">
            <w:pPr>
              <w:pBdr>
                <w:bottom w:color="000000" w:space="1" w:sz="6" w:val="single"/>
              </w:pBd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Прилози за стандард 6: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6.1, 6.2, 6. 3.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Документација о најмање три акредитована инострана програма, са којим је програм усклађен.</w:t>
            </w:r>
          </w:p>
          <w:p w:rsidR="00000000" w:rsidDel="00000000" w:rsidP="00000000" w:rsidRDefault="00000000" w:rsidRPr="00000000" w14:paraId="0000001C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6.4.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Pdf документ курикулума акредитованих иностраних студијских програма са којима је студијски програм усклађен (листа предмета).</w:t>
            </w:r>
          </w:p>
        </w:tc>
      </w:tr>
    </w:tbl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9" w:type="default"/>
      <w:footerReference r:id="rId20" w:type="default"/>
      <w:pgSz w:h="16840" w:w="11907" w:orient="portrait"/>
      <w:pgMar w:bottom="851" w:top="2269" w:left="1418" w:right="851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3"/>
      <w:gridCol w:w="6357"/>
      <w:gridCol w:w="1668"/>
      <w:tblGridChange w:id="0">
        <w:tblGrid>
          <w:gridCol w:w="1633"/>
          <w:gridCol w:w="6357"/>
          <w:gridCol w:w="1668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23290" cy="922020"/>
                <wp:effectExtent b="0" l="0" r="0" t="0"/>
                <wp:docPr id="10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290" cy="922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Мастер академске студије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://lettres.univ-artois.fr/master" TargetMode="External"/><Relationship Id="rId10" Type="http://schemas.openxmlformats.org/officeDocument/2006/relationships/hyperlink" Target="http://lettres.univ-artois.fr/" TargetMode="External"/><Relationship Id="rId13" Type="http://schemas.openxmlformats.org/officeDocument/2006/relationships/hyperlink" Target="http://lettres.univ-artois.fr/master/francais-langue-etrangere-en-presentiel" TargetMode="External"/><Relationship Id="rId12" Type="http://schemas.openxmlformats.org/officeDocument/2006/relationships/hyperlink" Target="http://lettres.univ-artois.fr/internationa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formations.univ-poitiers.fr/plugins/odf-web/odf/_content/subprogram-parcours-didactique-des-langues-et-du-francais-langue-etrangere-et-seconde-fr-fr-fr-fr/Parcours%20Didactique%20des%20langues%20et%20du%20fran%C3%A7ais%20langue%20%C3%A9trang%C3%A8re%20et%20seconde.pdf" TargetMode="External"/><Relationship Id="rId15" Type="http://schemas.openxmlformats.org/officeDocument/2006/relationships/hyperlink" Target="https://www.ffzg.unizg.hr/roman/odsjek/" TargetMode="External"/><Relationship Id="rId14" Type="http://schemas.openxmlformats.org/officeDocument/2006/relationships/hyperlink" Target="https://web2020.ffzg.unizg.hr/" TargetMode="External"/><Relationship Id="rId17" Type="http://schemas.openxmlformats.org/officeDocument/2006/relationships/hyperlink" Target="http://www.ffzg.unizg.hr/roman/wp-content/uploads/2012/03/struktura-2010.pdf" TargetMode="External"/><Relationship Id="rId16" Type="http://schemas.openxmlformats.org/officeDocument/2006/relationships/hyperlink" Target="http://www.ffzg.unizg.hr/roman/francuski/programi/izvedbeni-plan-preddiplomskoga-studija-francuskoga-jezika-i-knjizevnosti/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yperlink" Target="http://www.ffzg.unizg.hr/roman/francuski/programi/nastavnicki-smjer/" TargetMode="External"/><Relationship Id="rId7" Type="http://schemas.openxmlformats.org/officeDocument/2006/relationships/hyperlink" Target="https://ll.univ-poitiers.fr/" TargetMode="External"/><Relationship Id="rId8" Type="http://schemas.openxmlformats.org/officeDocument/2006/relationships/hyperlink" Target="https://formations.univ-poitiers.fr/fr/index/master-XB/master-XB/master-sciences-du-langage-JB3F3ES0/parcours-didactique-des-langues-et-du-francais-langue-etrangere-et-seconde-JB3F4LIZ.htm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/cYwtOZPfpWz+cZeJkfr1zmLdg==">AMUW2mU8/jIbfnyi/ydI9DqpywiBquefYSQbgEgkytLnIMokSDf0SqFcFUdBv+HZRomGer2aNK/tYWDGMGGMHGpceKTB+ZT015v335WEJQrkVZ/sYChk/lE=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2022-03-15T21:35:00Z</dcterms:created>
  <dc:creator>Saša Trenčić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